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F2671" w14:textId="09453F4D" w:rsidR="00412E3E" w:rsidRPr="004F32BC" w:rsidRDefault="00412E3E" w:rsidP="00412E3E">
      <w:pPr>
        <w:pStyle w:val="NormalWeb"/>
        <w:shd w:val="clear" w:color="auto" w:fill="FEFEFE"/>
        <w:spacing w:line="276" w:lineRule="auto"/>
        <w:rPr>
          <w:rFonts w:ascii="Tahoma" w:hAnsi="Tahoma" w:cs="Tahoma"/>
          <w:color w:val="0A2F41" w:themeColor="accent1" w:themeShade="80"/>
          <w:sz w:val="28"/>
          <w:szCs w:val="28"/>
        </w:rPr>
      </w:pPr>
      <w:r w:rsidRPr="004F32BC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 xml:space="preserve">Documentation </w:t>
      </w:r>
      <w:r w:rsidR="00E168B7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>required to register</w:t>
      </w:r>
      <w:r w:rsidRPr="004F32BC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 xml:space="preserve"> </w:t>
      </w:r>
      <w:r w:rsidR="00E168B7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>n</w:t>
      </w:r>
      <w:r w:rsidRPr="004F32BC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>ew G</w:t>
      </w:r>
      <w:r w:rsidR="00E168B7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>enerator Owner (GO</w:t>
      </w:r>
      <w:r w:rsidR="00F2728B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>)</w:t>
      </w:r>
      <w:r w:rsidR="00E168B7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 xml:space="preserve"> and Generator Operator (G</w:t>
      </w:r>
      <w:r w:rsidRPr="004F32BC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>O</w:t>
      </w:r>
      <w:r w:rsidR="00E168B7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>P)</w:t>
      </w:r>
      <w:r w:rsidRPr="004F32BC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 xml:space="preserve"> </w:t>
      </w:r>
      <w:r w:rsidR="00150931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 xml:space="preserve">functional </w:t>
      </w:r>
      <w:r w:rsidR="00F2728B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>e</w:t>
      </w:r>
      <w:r w:rsidR="00150931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>ntities</w:t>
      </w:r>
      <w:r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 xml:space="preserve"> in R</w:t>
      </w:r>
      <w:r w:rsidR="00976BB2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>eliability</w:t>
      </w:r>
      <w:r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>F</w:t>
      </w:r>
      <w:r w:rsidR="00976BB2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>irst (RF)</w:t>
      </w:r>
      <w:r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 xml:space="preserve"> </w:t>
      </w:r>
      <w:r w:rsidR="00976BB2"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>R</w:t>
      </w:r>
      <w:r>
        <w:rPr>
          <w:rFonts w:ascii="Tahoma" w:hAnsi="Tahoma" w:cs="Tahoma"/>
          <w:b/>
          <w:bCs/>
          <w:color w:val="0A2F41" w:themeColor="accent1" w:themeShade="80"/>
          <w:sz w:val="28"/>
          <w:szCs w:val="28"/>
        </w:rPr>
        <w:t>egion</w:t>
      </w:r>
    </w:p>
    <w:p w14:paraId="48A2935E" w14:textId="1E2B1DE0" w:rsidR="00412E3E" w:rsidRPr="003A30F3" w:rsidRDefault="00976BB2" w:rsidP="00412E3E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following is a list of </w:t>
      </w:r>
      <w:r w:rsidR="00412E3E">
        <w:rPr>
          <w:rFonts w:ascii="Tahoma" w:hAnsi="Tahoma" w:cs="Tahoma"/>
        </w:rPr>
        <w:t xml:space="preserve">documentation that </w:t>
      </w:r>
      <w:r w:rsidR="00AE0059">
        <w:rPr>
          <w:rFonts w:ascii="Tahoma" w:hAnsi="Tahoma" w:cs="Tahoma"/>
        </w:rPr>
        <w:t xml:space="preserve">must be provided to RF before a new </w:t>
      </w:r>
      <w:r w:rsidR="002D2358">
        <w:rPr>
          <w:rFonts w:ascii="Tahoma" w:hAnsi="Tahoma" w:cs="Tahoma"/>
        </w:rPr>
        <w:t>e</w:t>
      </w:r>
      <w:r w:rsidR="00AE0059">
        <w:rPr>
          <w:rFonts w:ascii="Tahoma" w:hAnsi="Tahoma" w:cs="Tahoma"/>
        </w:rPr>
        <w:t xml:space="preserve">ntity can be registered </w:t>
      </w:r>
      <w:r w:rsidR="00412E3E">
        <w:rPr>
          <w:rFonts w:ascii="Tahoma" w:hAnsi="Tahoma" w:cs="Tahoma"/>
        </w:rPr>
        <w:t xml:space="preserve">as a </w:t>
      </w:r>
      <w:r w:rsidR="00412E3E" w:rsidRPr="003A30F3">
        <w:rPr>
          <w:rFonts w:ascii="Tahoma" w:hAnsi="Tahoma" w:cs="Tahoma"/>
        </w:rPr>
        <w:t>new</w:t>
      </w:r>
      <w:r w:rsidR="00AE0059">
        <w:rPr>
          <w:rFonts w:ascii="Tahoma" w:hAnsi="Tahoma" w:cs="Tahoma"/>
        </w:rPr>
        <w:t xml:space="preserve"> </w:t>
      </w:r>
      <w:r w:rsidR="00412E3E" w:rsidRPr="003A30F3">
        <w:rPr>
          <w:rFonts w:ascii="Tahoma" w:hAnsi="Tahoma" w:cs="Tahoma"/>
        </w:rPr>
        <w:t>G</w:t>
      </w:r>
      <w:r w:rsidR="00AE0059">
        <w:rPr>
          <w:rFonts w:ascii="Tahoma" w:hAnsi="Tahoma" w:cs="Tahoma"/>
        </w:rPr>
        <w:t>enerator Owner (GO)</w:t>
      </w:r>
      <w:r w:rsidR="00412E3E" w:rsidRPr="003A30F3">
        <w:rPr>
          <w:rFonts w:ascii="Tahoma" w:hAnsi="Tahoma" w:cs="Tahoma"/>
        </w:rPr>
        <w:t xml:space="preserve"> and</w:t>
      </w:r>
      <w:r w:rsidR="00AE0059">
        <w:rPr>
          <w:rFonts w:ascii="Tahoma" w:hAnsi="Tahoma" w:cs="Tahoma"/>
        </w:rPr>
        <w:t>/ or</w:t>
      </w:r>
      <w:r w:rsidR="00412E3E" w:rsidRPr="003A30F3">
        <w:rPr>
          <w:rFonts w:ascii="Tahoma" w:hAnsi="Tahoma" w:cs="Tahoma"/>
        </w:rPr>
        <w:t xml:space="preserve"> </w:t>
      </w:r>
      <w:r w:rsidR="00AE0059">
        <w:rPr>
          <w:rFonts w:ascii="Tahoma" w:hAnsi="Tahoma" w:cs="Tahoma"/>
        </w:rPr>
        <w:t xml:space="preserve">Generator Operator (GOP). This </w:t>
      </w:r>
      <w:r w:rsidR="00E168B7">
        <w:rPr>
          <w:rFonts w:ascii="Tahoma" w:hAnsi="Tahoma" w:cs="Tahoma"/>
        </w:rPr>
        <w:t>applies to</w:t>
      </w:r>
      <w:r w:rsidR="00AE005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both </w:t>
      </w:r>
      <w:r w:rsidR="00412E3E">
        <w:rPr>
          <w:rFonts w:ascii="Tahoma" w:hAnsi="Tahoma" w:cs="Tahoma"/>
        </w:rPr>
        <w:t xml:space="preserve">Category 1 </w:t>
      </w:r>
      <w:r w:rsidR="00E168B7">
        <w:rPr>
          <w:rFonts w:ascii="Tahoma" w:hAnsi="Tahoma" w:cs="Tahoma"/>
        </w:rPr>
        <w:t xml:space="preserve">(BES) </w:t>
      </w:r>
      <w:r w:rsidR="00412E3E">
        <w:rPr>
          <w:rFonts w:ascii="Tahoma" w:hAnsi="Tahoma" w:cs="Tahoma"/>
        </w:rPr>
        <w:t>and</w:t>
      </w:r>
      <w:r w:rsidR="00AE0059">
        <w:rPr>
          <w:rFonts w:ascii="Tahoma" w:hAnsi="Tahoma" w:cs="Tahoma"/>
        </w:rPr>
        <w:t>/or</w:t>
      </w:r>
      <w:r w:rsidR="00412E3E">
        <w:rPr>
          <w:rFonts w:ascii="Tahoma" w:hAnsi="Tahoma" w:cs="Tahoma"/>
        </w:rPr>
        <w:t xml:space="preserve"> Category 2</w:t>
      </w:r>
      <w:r w:rsidR="00E168B7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Non-BES</w:t>
      </w:r>
      <w:r w:rsidR="00E168B7">
        <w:rPr>
          <w:rFonts w:ascii="Tahoma" w:hAnsi="Tahoma" w:cs="Tahoma"/>
        </w:rPr>
        <w:t xml:space="preserve"> I</w:t>
      </w:r>
      <w:r>
        <w:rPr>
          <w:rFonts w:ascii="Tahoma" w:hAnsi="Tahoma" w:cs="Tahoma"/>
        </w:rPr>
        <w:t xml:space="preserve">nverter </w:t>
      </w:r>
      <w:r w:rsidR="00E168B7">
        <w:rPr>
          <w:rFonts w:ascii="Tahoma" w:hAnsi="Tahoma" w:cs="Tahoma"/>
        </w:rPr>
        <w:t>B</w:t>
      </w:r>
      <w:r>
        <w:rPr>
          <w:rFonts w:ascii="Tahoma" w:hAnsi="Tahoma" w:cs="Tahoma"/>
        </w:rPr>
        <w:t xml:space="preserve">ased </w:t>
      </w:r>
      <w:r w:rsidR="00E168B7">
        <w:rPr>
          <w:rFonts w:ascii="Tahoma" w:hAnsi="Tahoma" w:cs="Tahoma"/>
        </w:rPr>
        <w:t>R</w:t>
      </w:r>
      <w:r>
        <w:rPr>
          <w:rFonts w:ascii="Tahoma" w:hAnsi="Tahoma" w:cs="Tahoma"/>
        </w:rPr>
        <w:t>esources</w:t>
      </w:r>
      <w:r w:rsidR="00E168B7">
        <w:rPr>
          <w:rFonts w:ascii="Tahoma" w:hAnsi="Tahoma" w:cs="Tahoma"/>
        </w:rPr>
        <w:t>)</w:t>
      </w:r>
      <w:r w:rsidR="00412E3E">
        <w:rPr>
          <w:rFonts w:ascii="Tahoma" w:hAnsi="Tahoma" w:cs="Tahoma"/>
        </w:rPr>
        <w:t xml:space="preserve"> generation </w:t>
      </w:r>
      <w:r w:rsidR="00412E3E" w:rsidRPr="003A30F3">
        <w:rPr>
          <w:rFonts w:ascii="Tahoma" w:hAnsi="Tahoma" w:cs="Tahoma"/>
        </w:rPr>
        <w:t xml:space="preserve">in </w:t>
      </w:r>
      <w:r w:rsidR="00412E3E">
        <w:rPr>
          <w:rFonts w:ascii="Tahoma" w:hAnsi="Tahoma" w:cs="Tahoma"/>
        </w:rPr>
        <w:t xml:space="preserve">the </w:t>
      </w:r>
      <w:r w:rsidR="00412E3E" w:rsidRPr="003A30F3">
        <w:rPr>
          <w:rFonts w:ascii="Tahoma" w:hAnsi="Tahoma" w:cs="Tahoma"/>
        </w:rPr>
        <w:t>RF</w:t>
      </w:r>
      <w:r w:rsidR="00412E3E">
        <w:rPr>
          <w:rFonts w:ascii="Tahoma" w:hAnsi="Tahoma" w:cs="Tahoma"/>
        </w:rPr>
        <w:t xml:space="preserve"> footprint</w:t>
      </w:r>
      <w:r w:rsidR="004B2814">
        <w:rPr>
          <w:rFonts w:ascii="Tahoma" w:hAnsi="Tahoma" w:cs="Tahoma"/>
        </w:rPr>
        <w:t xml:space="preserve">. This documentation </w:t>
      </w:r>
      <w:r w:rsidR="00E168B7">
        <w:rPr>
          <w:rFonts w:ascii="Tahoma" w:hAnsi="Tahoma" w:cs="Tahoma"/>
        </w:rPr>
        <w:t>is to</w:t>
      </w:r>
      <w:r w:rsidR="004B2814">
        <w:rPr>
          <w:rFonts w:ascii="Tahoma" w:hAnsi="Tahoma" w:cs="Tahoma"/>
        </w:rPr>
        <w:t xml:space="preserve"> be uploaded in</w:t>
      </w:r>
      <w:r w:rsidR="00E168B7">
        <w:rPr>
          <w:rFonts w:ascii="Tahoma" w:hAnsi="Tahoma" w:cs="Tahoma"/>
        </w:rPr>
        <w:t>to the NERC ERO Portal/</w:t>
      </w:r>
      <w:r w:rsidR="004B2814">
        <w:rPr>
          <w:rFonts w:ascii="Tahoma" w:hAnsi="Tahoma" w:cs="Tahoma"/>
        </w:rPr>
        <w:t xml:space="preserve">CORES as part of the </w:t>
      </w:r>
      <w:r w:rsidR="00E168B7">
        <w:rPr>
          <w:rFonts w:ascii="Tahoma" w:hAnsi="Tahoma" w:cs="Tahoma"/>
        </w:rPr>
        <w:t xml:space="preserve">official </w:t>
      </w:r>
      <w:r w:rsidR="004B2814">
        <w:rPr>
          <w:rFonts w:ascii="Tahoma" w:hAnsi="Tahoma" w:cs="Tahoma"/>
        </w:rPr>
        <w:t>r</w:t>
      </w:r>
      <w:r w:rsidR="00AE0059">
        <w:rPr>
          <w:rFonts w:ascii="Tahoma" w:hAnsi="Tahoma" w:cs="Tahoma"/>
        </w:rPr>
        <w:t>egistration record</w:t>
      </w:r>
      <w:r w:rsidR="004B2814">
        <w:rPr>
          <w:rFonts w:ascii="Tahoma" w:hAnsi="Tahoma" w:cs="Tahoma"/>
        </w:rPr>
        <w:t>.</w:t>
      </w:r>
      <w:r w:rsidR="00412E3E" w:rsidRPr="003A30F3">
        <w:rPr>
          <w:rFonts w:ascii="Tahoma" w:hAnsi="Tahoma" w:cs="Tahoma"/>
        </w:rPr>
        <w:t xml:space="preserve"> </w:t>
      </w:r>
    </w:p>
    <w:p w14:paraId="1FFC6095" w14:textId="08C9A070" w:rsidR="00412E3E" w:rsidRPr="004F32BC" w:rsidRDefault="00000000" w:rsidP="00412E3E">
      <w:pPr>
        <w:pStyle w:val="NormalWeb"/>
        <w:numPr>
          <w:ilvl w:val="0"/>
          <w:numId w:val="1"/>
        </w:numPr>
        <w:shd w:val="clear" w:color="auto" w:fill="FEFEFE"/>
        <w:spacing w:line="276" w:lineRule="auto"/>
        <w:rPr>
          <w:rFonts w:ascii="Tahoma" w:hAnsi="Tahoma" w:cs="Tahoma"/>
          <w:sz w:val="22"/>
          <w:szCs w:val="22"/>
        </w:rPr>
      </w:pPr>
      <w:hyperlink r:id="rId7" w:history="1">
        <w:r w:rsidR="00412E3E" w:rsidRPr="004B2814">
          <w:rPr>
            <w:rStyle w:val="Hyperlink"/>
            <w:rFonts w:ascii="Tahoma" w:eastAsiaTheme="majorEastAsia" w:hAnsi="Tahoma" w:cs="Tahoma"/>
            <w:b/>
            <w:bCs/>
            <w:sz w:val="22"/>
            <w:szCs w:val="22"/>
          </w:rPr>
          <w:t>RF Registration Request Form</w:t>
        </w:r>
      </w:hyperlink>
      <w:r w:rsidR="00412E3E" w:rsidRPr="004F32BC">
        <w:rPr>
          <w:rFonts w:ascii="Tahoma" w:hAnsi="Tahoma" w:cs="Tahoma"/>
          <w:sz w:val="22"/>
          <w:szCs w:val="22"/>
        </w:rPr>
        <w:t xml:space="preserve"> </w:t>
      </w:r>
    </w:p>
    <w:p w14:paraId="3011E908" w14:textId="77777777" w:rsidR="00412E3E" w:rsidRPr="004B2814" w:rsidRDefault="00412E3E" w:rsidP="00412E3E">
      <w:pPr>
        <w:pStyle w:val="NormalWeb"/>
        <w:numPr>
          <w:ilvl w:val="0"/>
          <w:numId w:val="1"/>
        </w:numPr>
        <w:shd w:val="clear" w:color="auto" w:fill="FEFEFE"/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B2814">
        <w:rPr>
          <w:rFonts w:ascii="Tahoma" w:hAnsi="Tahoma" w:cs="Tahoma"/>
          <w:b/>
          <w:bCs/>
          <w:sz w:val="22"/>
          <w:szCs w:val="22"/>
        </w:rPr>
        <w:t>Map/geographic location/address of facility</w:t>
      </w:r>
    </w:p>
    <w:p w14:paraId="3A259486" w14:textId="77777777" w:rsidR="00412E3E" w:rsidRPr="004F32BC" w:rsidRDefault="00000000" w:rsidP="00412E3E">
      <w:pPr>
        <w:pStyle w:val="NormalWeb"/>
        <w:numPr>
          <w:ilvl w:val="0"/>
          <w:numId w:val="1"/>
        </w:numPr>
        <w:shd w:val="clear" w:color="auto" w:fill="FEFEFE"/>
        <w:spacing w:line="276" w:lineRule="auto"/>
        <w:rPr>
          <w:rFonts w:ascii="Tahoma" w:hAnsi="Tahoma" w:cs="Tahoma"/>
          <w:sz w:val="22"/>
          <w:szCs w:val="22"/>
        </w:rPr>
      </w:pPr>
      <w:hyperlink r:id="rId8" w:history="1">
        <w:r w:rsidR="00412E3E" w:rsidRPr="004B2814">
          <w:rPr>
            <w:rStyle w:val="Hyperlink"/>
            <w:rFonts w:ascii="Tahoma" w:eastAsiaTheme="majorEastAsia" w:hAnsi="Tahoma" w:cs="Tahoma"/>
            <w:b/>
            <w:bCs/>
            <w:sz w:val="22"/>
            <w:szCs w:val="22"/>
          </w:rPr>
          <w:t>GO GOP Asset Verification Form</w:t>
        </w:r>
      </w:hyperlink>
      <w:r w:rsidR="00412E3E" w:rsidRPr="004F32BC">
        <w:rPr>
          <w:rFonts w:ascii="Tahoma" w:hAnsi="Tahoma" w:cs="Tahoma"/>
          <w:sz w:val="22"/>
          <w:szCs w:val="22"/>
        </w:rPr>
        <w:t xml:space="preserve"> (revision dated 11/30/23)</w:t>
      </w:r>
    </w:p>
    <w:p w14:paraId="4EBFB07F" w14:textId="20035375" w:rsidR="00412E3E" w:rsidRPr="004F32BC" w:rsidRDefault="00412E3E" w:rsidP="00412E3E">
      <w:pPr>
        <w:pStyle w:val="NormalWeb"/>
        <w:numPr>
          <w:ilvl w:val="0"/>
          <w:numId w:val="1"/>
        </w:numPr>
        <w:shd w:val="clear" w:color="auto" w:fill="FEFEFE"/>
        <w:spacing w:line="276" w:lineRule="auto"/>
        <w:rPr>
          <w:rFonts w:ascii="Tahoma" w:hAnsi="Tahoma" w:cs="Tahoma"/>
          <w:sz w:val="22"/>
          <w:szCs w:val="22"/>
        </w:rPr>
      </w:pPr>
      <w:r w:rsidRPr="004B2814">
        <w:rPr>
          <w:rFonts w:ascii="Tahoma" w:hAnsi="Tahoma" w:cs="Tahoma"/>
          <w:b/>
          <w:bCs/>
          <w:sz w:val="22"/>
          <w:szCs w:val="22"/>
        </w:rPr>
        <w:t>Interconnection Service Agreements</w:t>
      </w:r>
      <w:r w:rsidRPr="004F32BC">
        <w:rPr>
          <w:rFonts w:ascii="Tahoma" w:hAnsi="Tahoma" w:cs="Tahoma"/>
          <w:sz w:val="22"/>
          <w:szCs w:val="22"/>
        </w:rPr>
        <w:t xml:space="preserve"> (</w:t>
      </w:r>
      <w:r w:rsidR="00976BB2">
        <w:rPr>
          <w:rFonts w:ascii="Tahoma" w:hAnsi="Tahoma" w:cs="Tahoma"/>
          <w:sz w:val="22"/>
          <w:szCs w:val="22"/>
        </w:rPr>
        <w:t xml:space="preserve">e.g., </w:t>
      </w:r>
      <w:r w:rsidRPr="004F32BC">
        <w:rPr>
          <w:rFonts w:ascii="Tahoma" w:hAnsi="Tahoma" w:cs="Tahoma"/>
          <w:sz w:val="22"/>
          <w:szCs w:val="22"/>
        </w:rPr>
        <w:t>ISA</w:t>
      </w:r>
      <w:r w:rsidR="00976BB2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SGIA</w:t>
      </w:r>
      <w:r w:rsidR="00976BB2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GIA</w:t>
      </w:r>
      <w:r w:rsidR="00976BB2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LGIA)</w:t>
      </w:r>
    </w:p>
    <w:p w14:paraId="2AE2CD7B" w14:textId="0BD71A1E" w:rsidR="00412E3E" w:rsidRPr="004B2814" w:rsidRDefault="00412E3E" w:rsidP="00412E3E">
      <w:pPr>
        <w:pStyle w:val="NormalWeb"/>
        <w:numPr>
          <w:ilvl w:val="0"/>
          <w:numId w:val="1"/>
        </w:numPr>
        <w:shd w:val="clear" w:color="auto" w:fill="FEFEFE"/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B2814">
        <w:rPr>
          <w:rFonts w:ascii="Tahoma" w:hAnsi="Tahoma" w:cs="Tahoma"/>
          <w:b/>
          <w:bCs/>
          <w:sz w:val="22"/>
          <w:szCs w:val="22"/>
        </w:rPr>
        <w:t>Third-Party or Operating Service Agreements for GOP</w:t>
      </w:r>
    </w:p>
    <w:p w14:paraId="59F1BD40" w14:textId="337E29CB" w:rsidR="00412E3E" w:rsidRPr="004B2814" w:rsidRDefault="00976BB2" w:rsidP="00412E3E">
      <w:pPr>
        <w:pStyle w:val="NormalWeb"/>
        <w:numPr>
          <w:ilvl w:val="0"/>
          <w:numId w:val="1"/>
        </w:numPr>
        <w:shd w:val="clear" w:color="auto" w:fill="FEFEFE"/>
        <w:spacing w:line="276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Official Stamped </w:t>
      </w:r>
      <w:r w:rsidR="00412E3E" w:rsidRPr="004B2814">
        <w:rPr>
          <w:rFonts w:ascii="Tahoma" w:hAnsi="Tahoma" w:cs="Tahoma"/>
          <w:b/>
          <w:bCs/>
          <w:sz w:val="22"/>
          <w:szCs w:val="22"/>
        </w:rPr>
        <w:t>Operational One-line Diagrams</w:t>
      </w:r>
    </w:p>
    <w:p w14:paraId="29F62ABA" w14:textId="5388F852" w:rsidR="00412E3E" w:rsidRDefault="00412E3E" w:rsidP="00412E3E">
      <w:pPr>
        <w:pStyle w:val="NormalWeb"/>
        <w:numPr>
          <w:ilvl w:val="1"/>
          <w:numId w:val="1"/>
        </w:numPr>
        <w:shd w:val="clear" w:color="auto" w:fill="FEFEFE"/>
        <w:spacing w:line="276" w:lineRule="auto"/>
        <w:rPr>
          <w:rFonts w:ascii="Tahoma" w:hAnsi="Tahoma" w:cs="Tahoma"/>
          <w:sz w:val="22"/>
          <w:szCs w:val="22"/>
        </w:rPr>
      </w:pPr>
      <w:r w:rsidRPr="004F32BC">
        <w:rPr>
          <w:rFonts w:ascii="Tahoma" w:hAnsi="Tahoma" w:cs="Tahoma"/>
          <w:sz w:val="22"/>
          <w:szCs w:val="22"/>
        </w:rPr>
        <w:t>Depicting the Generation Resource(s) through to the Point of Interconnection</w:t>
      </w:r>
      <w:r w:rsidR="00976BB2">
        <w:rPr>
          <w:rFonts w:ascii="Tahoma" w:hAnsi="Tahoma" w:cs="Tahoma"/>
          <w:sz w:val="22"/>
          <w:szCs w:val="22"/>
        </w:rPr>
        <w:t xml:space="preserve"> (POI)</w:t>
      </w:r>
      <w:r w:rsidRPr="004F32BC">
        <w:rPr>
          <w:rFonts w:ascii="Tahoma" w:hAnsi="Tahoma" w:cs="Tahoma"/>
          <w:sz w:val="22"/>
          <w:szCs w:val="22"/>
        </w:rPr>
        <w:t xml:space="preserve"> w</w:t>
      </w:r>
      <w:r w:rsidR="00976BB2">
        <w:rPr>
          <w:rFonts w:ascii="Tahoma" w:hAnsi="Tahoma" w:cs="Tahoma"/>
          <w:sz w:val="22"/>
          <w:szCs w:val="22"/>
        </w:rPr>
        <w:t>ith</w:t>
      </w:r>
      <w:r w:rsidRPr="004F32BC">
        <w:rPr>
          <w:rFonts w:ascii="Tahoma" w:hAnsi="Tahoma" w:cs="Tahoma"/>
          <w:sz w:val="22"/>
          <w:szCs w:val="22"/>
        </w:rPr>
        <w:t xml:space="preserve"> Transmission Owner (TO)</w:t>
      </w:r>
    </w:p>
    <w:p w14:paraId="6DC0D2CF" w14:textId="2D2BBD89" w:rsidR="00412E3E" w:rsidRDefault="004B2814" w:rsidP="00976BB2">
      <w:pPr>
        <w:pStyle w:val="NormalWeb"/>
        <w:numPr>
          <w:ilvl w:val="1"/>
          <w:numId w:val="1"/>
        </w:numPr>
        <w:shd w:val="clear" w:color="auto" w:fill="FEFEFE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412E3E">
        <w:rPr>
          <w:rFonts w:ascii="Tahoma" w:hAnsi="Tahoma" w:cs="Tahoma"/>
          <w:sz w:val="22"/>
          <w:szCs w:val="22"/>
        </w:rPr>
        <w:t xml:space="preserve">iagram </w:t>
      </w:r>
      <w:r>
        <w:rPr>
          <w:rFonts w:ascii="Tahoma" w:hAnsi="Tahoma" w:cs="Tahoma"/>
          <w:sz w:val="22"/>
          <w:szCs w:val="22"/>
        </w:rPr>
        <w:t>highlighting the</w:t>
      </w:r>
      <w:r w:rsidR="00412E3E">
        <w:rPr>
          <w:rFonts w:ascii="Tahoma" w:hAnsi="Tahoma" w:cs="Tahoma"/>
          <w:sz w:val="22"/>
          <w:szCs w:val="22"/>
        </w:rPr>
        <w:t xml:space="preserve"> POI</w:t>
      </w:r>
      <w:r w:rsidR="00976BB2">
        <w:rPr>
          <w:rFonts w:ascii="Tahoma" w:hAnsi="Tahoma" w:cs="Tahoma"/>
          <w:sz w:val="22"/>
          <w:szCs w:val="22"/>
        </w:rPr>
        <w:t xml:space="preserve"> with TO</w:t>
      </w:r>
    </w:p>
    <w:p w14:paraId="79BE84AC" w14:textId="0212FE40" w:rsidR="00976BB2" w:rsidRDefault="00976BB2" w:rsidP="00976BB2">
      <w:pPr>
        <w:pStyle w:val="NormalWeb"/>
        <w:numPr>
          <w:ilvl w:val="1"/>
          <w:numId w:val="1"/>
        </w:numPr>
        <w:shd w:val="clear" w:color="auto" w:fill="FEFEFE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interconnecting substation</w:t>
      </w:r>
    </w:p>
    <w:p w14:paraId="4AB429EA" w14:textId="07C619ED" w:rsidR="00976BB2" w:rsidRPr="004F32BC" w:rsidRDefault="00976BB2" w:rsidP="00412E3E">
      <w:pPr>
        <w:pStyle w:val="NormalWeb"/>
        <w:numPr>
          <w:ilvl w:val="1"/>
          <w:numId w:val="1"/>
        </w:numPr>
        <w:shd w:val="clear" w:color="auto" w:fill="FEFEFE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Operating system (including collector systems if applicable)</w:t>
      </w:r>
    </w:p>
    <w:p w14:paraId="63D1D951" w14:textId="3603C16D" w:rsidR="00412E3E" w:rsidRPr="004F32BC" w:rsidRDefault="00412E3E" w:rsidP="00412E3E">
      <w:pPr>
        <w:pStyle w:val="NormalWeb"/>
        <w:numPr>
          <w:ilvl w:val="0"/>
          <w:numId w:val="1"/>
        </w:numPr>
        <w:shd w:val="clear" w:color="auto" w:fill="FEFEFE"/>
        <w:spacing w:before="0" w:beforeAutospacing="0" w:line="276" w:lineRule="auto"/>
        <w:rPr>
          <w:rFonts w:ascii="Tahoma" w:hAnsi="Tahoma" w:cs="Tahoma"/>
          <w:sz w:val="22"/>
          <w:szCs w:val="22"/>
        </w:rPr>
      </w:pPr>
      <w:r w:rsidRPr="004B2814">
        <w:rPr>
          <w:rFonts w:ascii="Tahoma" w:hAnsi="Tahoma" w:cs="Tahoma"/>
          <w:b/>
          <w:bCs/>
          <w:sz w:val="22"/>
          <w:szCs w:val="22"/>
        </w:rPr>
        <w:t xml:space="preserve">Accurate Gross Nameplate </w:t>
      </w:r>
      <w:r w:rsidR="00277E22">
        <w:rPr>
          <w:rFonts w:ascii="Tahoma" w:hAnsi="Tahoma" w:cs="Tahoma"/>
          <w:b/>
          <w:bCs/>
          <w:sz w:val="22"/>
          <w:szCs w:val="22"/>
        </w:rPr>
        <w:t>Rating (in MVA)</w:t>
      </w:r>
      <w:r w:rsidR="00277E22" w:rsidRPr="004F32BC">
        <w:rPr>
          <w:rFonts w:ascii="Tahoma" w:hAnsi="Tahoma" w:cs="Tahoma"/>
          <w:sz w:val="22"/>
          <w:szCs w:val="22"/>
        </w:rPr>
        <w:t xml:space="preserve"> </w:t>
      </w:r>
      <w:r w:rsidRPr="004B2814">
        <w:rPr>
          <w:rFonts w:ascii="Tahoma" w:hAnsi="Tahoma" w:cs="Tahoma"/>
          <w:b/>
          <w:bCs/>
          <w:sz w:val="22"/>
          <w:szCs w:val="22"/>
        </w:rPr>
        <w:t>Data</w:t>
      </w:r>
      <w:r w:rsidR="00277E2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F32BC">
        <w:rPr>
          <w:rFonts w:ascii="Tahoma" w:hAnsi="Tahoma" w:cs="Tahoma"/>
          <w:sz w:val="22"/>
          <w:szCs w:val="22"/>
        </w:rPr>
        <w:t xml:space="preserve">for the individual PV </w:t>
      </w:r>
      <w:r w:rsidR="00566FEA">
        <w:rPr>
          <w:rFonts w:ascii="Tahoma" w:hAnsi="Tahoma" w:cs="Tahoma"/>
          <w:sz w:val="22"/>
          <w:szCs w:val="22"/>
        </w:rPr>
        <w:t xml:space="preserve">solar </w:t>
      </w:r>
      <w:r w:rsidRPr="004F32BC">
        <w:rPr>
          <w:rFonts w:ascii="Tahoma" w:hAnsi="Tahoma" w:cs="Tahoma"/>
          <w:sz w:val="22"/>
          <w:szCs w:val="22"/>
        </w:rPr>
        <w:t>inverters/turbines/BESS</w:t>
      </w:r>
      <w:r w:rsidR="00976BB2">
        <w:rPr>
          <w:rFonts w:ascii="Tahoma" w:hAnsi="Tahoma" w:cs="Tahoma"/>
          <w:sz w:val="22"/>
          <w:szCs w:val="22"/>
        </w:rPr>
        <w:t>/etc.</w:t>
      </w:r>
      <w:r w:rsidRPr="004F32BC">
        <w:rPr>
          <w:rFonts w:ascii="Tahoma" w:hAnsi="Tahoma" w:cs="Tahoma"/>
          <w:sz w:val="22"/>
          <w:szCs w:val="22"/>
        </w:rPr>
        <w:t xml:space="preserve"> </w:t>
      </w:r>
    </w:p>
    <w:p w14:paraId="048AD7AA" w14:textId="13EC4567" w:rsidR="00412E3E" w:rsidRDefault="00412E3E" w:rsidP="00412E3E">
      <w:pPr>
        <w:pStyle w:val="NormalWeb"/>
        <w:numPr>
          <w:ilvl w:val="0"/>
          <w:numId w:val="1"/>
        </w:numPr>
        <w:shd w:val="clear" w:color="auto" w:fill="FEFEFE"/>
        <w:spacing w:before="0" w:beforeAutospacing="0" w:line="276" w:lineRule="auto"/>
        <w:rPr>
          <w:rFonts w:ascii="Tahoma" w:hAnsi="Tahoma" w:cs="Tahoma"/>
          <w:sz w:val="22"/>
          <w:szCs w:val="22"/>
        </w:rPr>
      </w:pPr>
      <w:r w:rsidRPr="00AE0059">
        <w:rPr>
          <w:rFonts w:ascii="Tahoma" w:hAnsi="Tahoma" w:cs="Tahoma"/>
          <w:b/>
          <w:bCs/>
          <w:sz w:val="22"/>
          <w:szCs w:val="22"/>
        </w:rPr>
        <w:t>A summary description of the facilities</w:t>
      </w:r>
      <w:r w:rsidRPr="004F32BC">
        <w:rPr>
          <w:rFonts w:ascii="Tahoma" w:hAnsi="Tahoma" w:cs="Tahoma"/>
          <w:sz w:val="22"/>
          <w:szCs w:val="22"/>
        </w:rPr>
        <w:t xml:space="preserve"> including accurate facility profile information (such as gross nameplate rating capacity, in-service limitations, inverter</w:t>
      </w:r>
      <w:r>
        <w:rPr>
          <w:rFonts w:ascii="Tahoma" w:hAnsi="Tahoma" w:cs="Tahoma"/>
          <w:sz w:val="22"/>
          <w:szCs w:val="22"/>
        </w:rPr>
        <w:t xml:space="preserve"> and tracker</w:t>
      </w:r>
      <w:r w:rsidRPr="004F32BC">
        <w:rPr>
          <w:rFonts w:ascii="Tahoma" w:hAnsi="Tahoma" w:cs="Tahoma"/>
          <w:sz w:val="22"/>
          <w:szCs w:val="22"/>
        </w:rPr>
        <w:t xml:space="preserve"> information</w:t>
      </w:r>
      <w:r>
        <w:rPr>
          <w:rFonts w:ascii="Tahoma" w:hAnsi="Tahoma" w:cs="Tahoma"/>
          <w:sz w:val="22"/>
          <w:szCs w:val="22"/>
        </w:rPr>
        <w:t>, or any other information about the facility that may be unique to the facility</w:t>
      </w:r>
      <w:r w:rsidRPr="004F32BC">
        <w:rPr>
          <w:rFonts w:ascii="Tahoma" w:hAnsi="Tahoma" w:cs="Tahoma"/>
          <w:sz w:val="22"/>
          <w:szCs w:val="22"/>
        </w:rPr>
        <w:t>)</w:t>
      </w:r>
    </w:p>
    <w:p w14:paraId="3D7B6144" w14:textId="14E609F7" w:rsidR="00412E3E" w:rsidRPr="004F32BC" w:rsidRDefault="004B2814" w:rsidP="55DB2579">
      <w:pPr>
        <w:pStyle w:val="NormalWeb"/>
        <w:numPr>
          <w:ilvl w:val="0"/>
          <w:numId w:val="1"/>
        </w:numPr>
        <w:shd w:val="clear" w:color="auto" w:fill="FEFEFE"/>
        <w:spacing w:before="0" w:beforeAutospacing="0" w:line="276" w:lineRule="auto"/>
        <w:rPr>
          <w:rFonts w:ascii="Tahoma" w:hAnsi="Tahoma" w:cs="Tahoma"/>
          <w:sz w:val="22"/>
          <w:szCs w:val="22"/>
        </w:rPr>
      </w:pPr>
      <w:r w:rsidRPr="55DB2579">
        <w:rPr>
          <w:rFonts w:ascii="Tahoma" w:hAnsi="Tahoma" w:cs="Tahoma"/>
          <w:b/>
          <w:bCs/>
          <w:sz w:val="22"/>
          <w:szCs w:val="22"/>
        </w:rPr>
        <w:t xml:space="preserve">Notification and proof of </w:t>
      </w:r>
      <w:r w:rsidR="00277E22">
        <w:rPr>
          <w:rFonts w:ascii="Tahoma" w:hAnsi="Tahoma" w:cs="Tahoma"/>
          <w:b/>
          <w:bCs/>
          <w:sz w:val="22"/>
          <w:szCs w:val="22"/>
        </w:rPr>
        <w:t>Commercial Operations Date (</w:t>
      </w:r>
      <w:r w:rsidRPr="55DB2579">
        <w:rPr>
          <w:rFonts w:ascii="Tahoma" w:hAnsi="Tahoma" w:cs="Tahoma"/>
          <w:b/>
          <w:bCs/>
          <w:sz w:val="22"/>
          <w:szCs w:val="22"/>
        </w:rPr>
        <w:t>COD</w:t>
      </w:r>
      <w:r w:rsidR="00277E22">
        <w:rPr>
          <w:rFonts w:ascii="Tahoma" w:hAnsi="Tahoma" w:cs="Tahoma"/>
          <w:b/>
          <w:bCs/>
          <w:sz w:val="22"/>
          <w:szCs w:val="22"/>
        </w:rPr>
        <w:t>)</w:t>
      </w:r>
      <w:r w:rsidRPr="55DB2579">
        <w:rPr>
          <w:rFonts w:ascii="Tahoma" w:hAnsi="Tahoma" w:cs="Tahoma"/>
          <w:b/>
          <w:bCs/>
          <w:sz w:val="22"/>
          <w:szCs w:val="22"/>
        </w:rPr>
        <w:t>.</w:t>
      </w:r>
      <w:r w:rsidRPr="55DB2579">
        <w:rPr>
          <w:rFonts w:ascii="Tahoma" w:hAnsi="Tahoma" w:cs="Tahoma"/>
          <w:sz w:val="22"/>
          <w:szCs w:val="22"/>
        </w:rPr>
        <w:t xml:space="preserve"> Official documented proof that the facility has achieved COD (</w:t>
      </w:r>
      <w:r w:rsidR="02888BDD" w:rsidRPr="55DB2579">
        <w:rPr>
          <w:rFonts w:ascii="Tahoma" w:hAnsi="Tahoma" w:cs="Tahoma"/>
          <w:sz w:val="22"/>
          <w:szCs w:val="22"/>
        </w:rPr>
        <w:t xml:space="preserve">e.g. </w:t>
      </w:r>
      <w:r w:rsidR="00AF0FAB">
        <w:rPr>
          <w:rFonts w:ascii="Tahoma" w:hAnsi="Tahoma" w:cs="Tahoma"/>
          <w:sz w:val="22"/>
          <w:szCs w:val="22"/>
        </w:rPr>
        <w:t>o</w:t>
      </w:r>
      <w:r w:rsidRPr="55DB2579">
        <w:rPr>
          <w:rFonts w:ascii="Tahoma" w:hAnsi="Tahoma" w:cs="Tahoma"/>
          <w:sz w:val="22"/>
          <w:szCs w:val="22"/>
        </w:rPr>
        <w:t xml:space="preserve">fficial notification on letterhead with signatures, signed </w:t>
      </w:r>
      <w:r w:rsidR="00AF0FAB">
        <w:rPr>
          <w:rFonts w:ascii="Tahoma" w:hAnsi="Tahoma" w:cs="Tahoma"/>
          <w:sz w:val="22"/>
          <w:szCs w:val="22"/>
        </w:rPr>
        <w:t>i</w:t>
      </w:r>
      <w:r w:rsidR="00277E22">
        <w:rPr>
          <w:rFonts w:ascii="Tahoma" w:hAnsi="Tahoma" w:cs="Tahoma"/>
          <w:sz w:val="22"/>
          <w:szCs w:val="22"/>
        </w:rPr>
        <w:t xml:space="preserve">nterconnection </w:t>
      </w:r>
      <w:r w:rsidR="00AF0FAB">
        <w:rPr>
          <w:rFonts w:ascii="Tahoma" w:hAnsi="Tahoma" w:cs="Tahoma"/>
          <w:sz w:val="22"/>
          <w:szCs w:val="22"/>
        </w:rPr>
        <w:t>a</w:t>
      </w:r>
      <w:r w:rsidR="00277E22">
        <w:rPr>
          <w:rFonts w:ascii="Tahoma" w:hAnsi="Tahoma" w:cs="Tahoma"/>
          <w:sz w:val="22"/>
          <w:szCs w:val="22"/>
        </w:rPr>
        <w:t xml:space="preserve">greement </w:t>
      </w:r>
      <w:r w:rsidR="01BCF529" w:rsidRPr="55DB2579">
        <w:rPr>
          <w:rFonts w:ascii="Tahoma" w:hAnsi="Tahoma" w:cs="Tahoma"/>
          <w:sz w:val="22"/>
          <w:szCs w:val="22"/>
        </w:rPr>
        <w:t xml:space="preserve">or </w:t>
      </w:r>
      <w:r w:rsidRPr="55DB2579">
        <w:rPr>
          <w:rFonts w:ascii="Tahoma" w:hAnsi="Tahoma" w:cs="Tahoma"/>
          <w:sz w:val="22"/>
          <w:szCs w:val="22"/>
        </w:rPr>
        <w:t>corporate announcements</w:t>
      </w:r>
      <w:r w:rsidR="033F338D" w:rsidRPr="55DB2579">
        <w:rPr>
          <w:rFonts w:ascii="Tahoma" w:hAnsi="Tahoma" w:cs="Tahoma"/>
          <w:sz w:val="22"/>
          <w:szCs w:val="22"/>
        </w:rPr>
        <w:t>.</w:t>
      </w:r>
      <w:r w:rsidRPr="55DB2579">
        <w:rPr>
          <w:rFonts w:ascii="Tahoma" w:hAnsi="Tahoma" w:cs="Tahoma"/>
          <w:sz w:val="22"/>
          <w:szCs w:val="22"/>
        </w:rPr>
        <w:t xml:space="preserve"> </w:t>
      </w:r>
      <w:r w:rsidR="4785A923" w:rsidRPr="55DB2579">
        <w:rPr>
          <w:rFonts w:ascii="Tahoma" w:hAnsi="Tahoma" w:cs="Tahoma"/>
          <w:sz w:val="22"/>
          <w:szCs w:val="22"/>
        </w:rPr>
        <w:t xml:space="preserve">Official notification </w:t>
      </w:r>
      <w:r w:rsidRPr="55DB2579">
        <w:rPr>
          <w:rFonts w:ascii="Tahoma" w:hAnsi="Tahoma" w:cs="Tahoma"/>
          <w:sz w:val="22"/>
          <w:szCs w:val="22"/>
        </w:rPr>
        <w:t>must be</w:t>
      </w:r>
      <w:r w:rsidR="00907423">
        <w:rPr>
          <w:rFonts w:ascii="Tahoma" w:hAnsi="Tahoma" w:cs="Tahoma"/>
          <w:sz w:val="22"/>
          <w:szCs w:val="22"/>
        </w:rPr>
        <w:t xml:space="preserve"> sent to RF</w:t>
      </w:r>
      <w:r w:rsidRPr="55DB2579">
        <w:rPr>
          <w:rFonts w:ascii="Tahoma" w:hAnsi="Tahoma" w:cs="Tahoma"/>
          <w:sz w:val="22"/>
          <w:szCs w:val="22"/>
        </w:rPr>
        <w:t xml:space="preserve"> on the date commencing commercial operations)</w:t>
      </w:r>
      <w:r w:rsidR="00AE0059" w:rsidRPr="55DB2579">
        <w:rPr>
          <w:rFonts w:ascii="Tahoma" w:hAnsi="Tahoma" w:cs="Tahoma"/>
          <w:sz w:val="22"/>
          <w:szCs w:val="22"/>
        </w:rPr>
        <w:t>.</w:t>
      </w:r>
    </w:p>
    <w:p w14:paraId="3426E9DE" w14:textId="2A50E7E7" w:rsidR="00AE0059" w:rsidRDefault="00412E3E" w:rsidP="00412E3E">
      <w:pPr>
        <w:pStyle w:val="NormalWeb"/>
        <w:shd w:val="clear" w:color="auto" w:fill="FEFEFE"/>
        <w:spacing w:before="0" w:beforeAutospacing="0" w:line="276" w:lineRule="auto"/>
        <w:rPr>
          <w:rFonts w:ascii="Tahoma" w:hAnsi="Tahoma" w:cs="Tahoma"/>
        </w:rPr>
      </w:pPr>
      <w:r w:rsidRPr="007F44BD">
        <w:rPr>
          <w:rFonts w:ascii="Tahoma" w:hAnsi="Tahoma" w:cs="Tahoma"/>
          <w:b/>
          <w:bCs/>
        </w:rPr>
        <w:t xml:space="preserve">Entities </w:t>
      </w:r>
      <w:r w:rsidR="00AF4AB1">
        <w:rPr>
          <w:rFonts w:ascii="Tahoma" w:hAnsi="Tahoma" w:cs="Tahoma"/>
          <w:b/>
          <w:bCs/>
        </w:rPr>
        <w:t>preparing to register in RF</w:t>
      </w:r>
      <w:r w:rsidRPr="007F44BD">
        <w:rPr>
          <w:rFonts w:ascii="Tahoma" w:hAnsi="Tahoma" w:cs="Tahoma"/>
          <w:b/>
          <w:bCs/>
        </w:rPr>
        <w:t xml:space="preserve"> should notify </w:t>
      </w:r>
      <w:r w:rsidR="002D2358">
        <w:rPr>
          <w:rFonts w:ascii="Tahoma" w:hAnsi="Tahoma" w:cs="Tahoma"/>
          <w:b/>
          <w:bCs/>
        </w:rPr>
        <w:t>RF</w:t>
      </w:r>
      <w:r w:rsidRPr="007F44BD">
        <w:rPr>
          <w:rFonts w:ascii="Tahoma" w:hAnsi="Tahoma" w:cs="Tahoma"/>
          <w:b/>
          <w:bCs/>
        </w:rPr>
        <w:t xml:space="preserve"> at least 60 days prior to anticipated registration effective date (COD) by emailing </w:t>
      </w:r>
      <w:r>
        <w:rPr>
          <w:rFonts w:ascii="Tahoma" w:hAnsi="Tahoma" w:cs="Tahoma"/>
          <w:b/>
          <w:bCs/>
        </w:rPr>
        <w:t>their</w:t>
      </w:r>
      <w:r w:rsidRPr="007F44BD">
        <w:rPr>
          <w:rFonts w:ascii="Tahoma" w:hAnsi="Tahoma" w:cs="Tahoma"/>
          <w:b/>
          <w:bCs/>
        </w:rPr>
        <w:t xml:space="preserve"> RF Registration Form to </w:t>
      </w:r>
      <w:hyperlink r:id="rId9" w:history="1">
        <w:r w:rsidRPr="007F44BD">
          <w:rPr>
            <w:rStyle w:val="Hyperlink"/>
            <w:rFonts w:ascii="Tahoma" w:eastAsiaTheme="majorEastAsia" w:hAnsi="Tahoma" w:cs="Tahoma"/>
            <w:b/>
            <w:bCs/>
          </w:rPr>
          <w:t>compliance@rfirst.org</w:t>
        </w:r>
      </w:hyperlink>
      <w:r w:rsidRPr="007F44BD">
        <w:rPr>
          <w:rFonts w:ascii="Tahoma" w:hAnsi="Tahoma" w:cs="Tahoma"/>
          <w:b/>
          <w:bCs/>
        </w:rPr>
        <w:t>.</w:t>
      </w:r>
      <w:r w:rsidRPr="003A30F3">
        <w:rPr>
          <w:rFonts w:ascii="Tahoma" w:hAnsi="Tahoma" w:cs="Tahoma"/>
        </w:rPr>
        <w:t xml:space="preserve"> </w:t>
      </w:r>
    </w:p>
    <w:p w14:paraId="3EF5F77B" w14:textId="0608D9CD" w:rsidR="006C368C" w:rsidRPr="00BE57A1" w:rsidRDefault="00E168B7" w:rsidP="00F2728B">
      <w:pPr>
        <w:pStyle w:val="NormalWeb"/>
        <w:shd w:val="clear" w:color="auto" w:fill="FEFEFE"/>
        <w:spacing w:before="0" w:beforeAutospacing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Once the entity has collected the</w:t>
      </w:r>
      <w:r w:rsidR="002D2358">
        <w:rPr>
          <w:rFonts w:ascii="Tahoma" w:hAnsi="Tahoma" w:cs="Tahoma"/>
        </w:rPr>
        <w:t xml:space="preserve"> required </w:t>
      </w:r>
      <w:r>
        <w:rPr>
          <w:rFonts w:ascii="Tahoma" w:hAnsi="Tahoma" w:cs="Tahoma"/>
        </w:rPr>
        <w:t>documentation</w:t>
      </w:r>
      <w:r w:rsidR="00412E3E" w:rsidRPr="003A30F3">
        <w:rPr>
          <w:rFonts w:ascii="Tahoma" w:hAnsi="Tahoma" w:cs="Tahoma"/>
        </w:rPr>
        <w:t xml:space="preserve">, </w:t>
      </w:r>
      <w:r w:rsidR="00AF4AB1">
        <w:rPr>
          <w:rFonts w:ascii="Tahoma" w:hAnsi="Tahoma" w:cs="Tahoma"/>
        </w:rPr>
        <w:t>they</w:t>
      </w:r>
      <w:r w:rsidR="00AE0059">
        <w:rPr>
          <w:rFonts w:ascii="Tahoma" w:hAnsi="Tahoma" w:cs="Tahoma"/>
        </w:rPr>
        <w:t xml:space="preserve"> </w:t>
      </w:r>
      <w:r w:rsidR="00412E3E" w:rsidRPr="003A30F3">
        <w:rPr>
          <w:rFonts w:ascii="Tahoma" w:hAnsi="Tahoma" w:cs="Tahoma"/>
        </w:rPr>
        <w:t xml:space="preserve">should initiate </w:t>
      </w:r>
      <w:r w:rsidR="002D2358">
        <w:rPr>
          <w:rFonts w:ascii="Tahoma" w:hAnsi="Tahoma" w:cs="Tahoma"/>
        </w:rPr>
        <w:t xml:space="preserve">a </w:t>
      </w:r>
      <w:r w:rsidR="00412E3E" w:rsidRPr="003A30F3">
        <w:rPr>
          <w:rFonts w:ascii="Tahoma" w:hAnsi="Tahoma" w:cs="Tahoma"/>
        </w:rPr>
        <w:t>draft</w:t>
      </w:r>
      <w:r w:rsidR="00AE0059">
        <w:rPr>
          <w:rFonts w:ascii="Tahoma" w:hAnsi="Tahoma" w:cs="Tahoma"/>
        </w:rPr>
        <w:t xml:space="preserve"> </w:t>
      </w:r>
      <w:r w:rsidR="00412E3E" w:rsidRPr="003A30F3">
        <w:rPr>
          <w:rFonts w:ascii="Tahoma" w:hAnsi="Tahoma" w:cs="Tahoma"/>
        </w:rPr>
        <w:t>request for registration in the ERO Portal/CORES application</w:t>
      </w:r>
      <w:r w:rsidR="00AF4AB1">
        <w:rPr>
          <w:rFonts w:ascii="Tahoma" w:hAnsi="Tahoma" w:cs="Tahoma"/>
        </w:rPr>
        <w:t xml:space="preserve"> and upload the </w:t>
      </w:r>
      <w:r w:rsidR="002D2358">
        <w:rPr>
          <w:rFonts w:ascii="Tahoma" w:hAnsi="Tahoma" w:cs="Tahoma"/>
        </w:rPr>
        <w:t xml:space="preserve">required </w:t>
      </w:r>
      <w:r w:rsidR="00AF4AB1">
        <w:rPr>
          <w:rFonts w:ascii="Tahoma" w:hAnsi="Tahoma" w:cs="Tahoma"/>
        </w:rPr>
        <w:t>documentation</w:t>
      </w:r>
      <w:r w:rsidR="00412E3E" w:rsidRPr="003A30F3">
        <w:rPr>
          <w:rFonts w:ascii="Tahoma" w:hAnsi="Tahoma" w:cs="Tahoma"/>
        </w:rPr>
        <w:t xml:space="preserve"> in preparation for future </w:t>
      </w:r>
      <w:r w:rsidR="00AF0FAB">
        <w:rPr>
          <w:rFonts w:ascii="Tahoma" w:hAnsi="Tahoma" w:cs="Tahoma"/>
        </w:rPr>
        <w:t>r</w:t>
      </w:r>
      <w:r w:rsidR="002D2358">
        <w:rPr>
          <w:rFonts w:ascii="Tahoma" w:hAnsi="Tahoma" w:cs="Tahoma"/>
        </w:rPr>
        <w:t xml:space="preserve">egistration </w:t>
      </w:r>
      <w:r w:rsidR="00412E3E" w:rsidRPr="003A30F3">
        <w:rPr>
          <w:rFonts w:ascii="Tahoma" w:hAnsi="Tahoma" w:cs="Tahoma"/>
        </w:rPr>
        <w:t xml:space="preserve">once </w:t>
      </w:r>
      <w:r w:rsidR="002D2358">
        <w:rPr>
          <w:rFonts w:ascii="Tahoma" w:hAnsi="Tahoma" w:cs="Tahoma"/>
        </w:rPr>
        <w:t xml:space="preserve">COD has been </w:t>
      </w:r>
      <w:r w:rsidR="00AF4AB1">
        <w:rPr>
          <w:rFonts w:ascii="Tahoma" w:hAnsi="Tahoma" w:cs="Tahoma"/>
        </w:rPr>
        <w:t>achieved</w:t>
      </w:r>
      <w:r w:rsidR="00AF0FAB">
        <w:rPr>
          <w:rFonts w:ascii="Tahoma" w:hAnsi="Tahoma" w:cs="Tahoma"/>
        </w:rPr>
        <w:t>.</w:t>
      </w:r>
    </w:p>
    <w:sectPr w:rsidR="006C368C" w:rsidRPr="00BE57A1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C500" w14:textId="77777777" w:rsidR="00C26E8F" w:rsidRDefault="00C26E8F" w:rsidP="00AF4AB1">
      <w:pPr>
        <w:spacing w:after="0" w:line="240" w:lineRule="auto"/>
      </w:pPr>
      <w:r>
        <w:separator/>
      </w:r>
    </w:p>
  </w:endnote>
  <w:endnote w:type="continuationSeparator" w:id="0">
    <w:p w14:paraId="2C241AC8" w14:textId="77777777" w:rsidR="00C26E8F" w:rsidRDefault="00C26E8F" w:rsidP="00AF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F42E" w14:textId="77777777" w:rsidR="00C26E8F" w:rsidRDefault="00C26E8F" w:rsidP="00AF4AB1">
      <w:pPr>
        <w:spacing w:after="0" w:line="240" w:lineRule="auto"/>
      </w:pPr>
      <w:r>
        <w:separator/>
      </w:r>
    </w:p>
  </w:footnote>
  <w:footnote w:type="continuationSeparator" w:id="0">
    <w:p w14:paraId="5EE69423" w14:textId="77777777" w:rsidR="00C26E8F" w:rsidRDefault="00C26E8F" w:rsidP="00AF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24B7" w14:textId="05588D3F" w:rsidR="00AF4AB1" w:rsidRDefault="00AF0F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2F69A7" wp14:editId="0F55443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97230" cy="391160"/>
              <wp:effectExtent l="0" t="0" r="0" b="8890"/>
              <wp:wrapNone/>
              <wp:docPr id="1396443789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159F7" w14:textId="399517AC" w:rsidR="00AF0FAB" w:rsidRPr="00AF0FAB" w:rsidRDefault="00AF0FAB" w:rsidP="00AF0F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F0F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F69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3.7pt;margin-top:0;width:54.9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0A7159F7" w14:textId="399517AC" w:rsidR="00AF0FAB" w:rsidRPr="00AF0FAB" w:rsidRDefault="00AF0FAB" w:rsidP="00AF0F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F0FA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AF5FF" w14:textId="3C49228B" w:rsidR="00AF4AB1" w:rsidRDefault="00AF0F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BF0DA7" wp14:editId="18830C4C">
              <wp:simplePos x="914400" y="461176"/>
              <wp:positionH relativeFrom="page">
                <wp:align>right</wp:align>
              </wp:positionH>
              <wp:positionV relativeFrom="page">
                <wp:align>top</wp:align>
              </wp:positionV>
              <wp:extent cx="697230" cy="391160"/>
              <wp:effectExtent l="0" t="0" r="0" b="8890"/>
              <wp:wrapNone/>
              <wp:docPr id="2007404266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AF4A3" w14:textId="3577D3AD" w:rsidR="00AF0FAB" w:rsidRPr="00AF0FAB" w:rsidRDefault="00AF0FAB" w:rsidP="00AF0F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F0F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F0D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3.7pt;margin-top:0;width:54.9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CAAF4A3" w14:textId="3577D3AD" w:rsidR="00AF0FAB" w:rsidRPr="00AF0FAB" w:rsidRDefault="00AF0FAB" w:rsidP="00AF0F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F0FA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A3CF" w14:textId="322B9619" w:rsidR="00AF4AB1" w:rsidRDefault="00AF0F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29FBF2" wp14:editId="25541AC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97230" cy="391160"/>
              <wp:effectExtent l="0" t="0" r="0" b="8890"/>
              <wp:wrapNone/>
              <wp:docPr id="1746521514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BDF89" w14:textId="0B1B4538" w:rsidR="00AF0FAB" w:rsidRPr="00AF0FAB" w:rsidRDefault="00AF0FAB" w:rsidP="00AF0F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F0F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9FB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3.7pt;margin-top:0;width:54.9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1DBDF89" w14:textId="0B1B4538" w:rsidR="00AF0FAB" w:rsidRPr="00AF0FAB" w:rsidRDefault="00AF0FAB" w:rsidP="00AF0F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F0FA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C27AB"/>
    <w:multiLevelType w:val="hybridMultilevel"/>
    <w:tmpl w:val="FD1E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96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3E"/>
    <w:rsid w:val="00150931"/>
    <w:rsid w:val="00277E22"/>
    <w:rsid w:val="002D2358"/>
    <w:rsid w:val="00412E3E"/>
    <w:rsid w:val="004B2814"/>
    <w:rsid w:val="00566FEA"/>
    <w:rsid w:val="005739AD"/>
    <w:rsid w:val="00603E47"/>
    <w:rsid w:val="00673362"/>
    <w:rsid w:val="006C368C"/>
    <w:rsid w:val="00800F50"/>
    <w:rsid w:val="008273E5"/>
    <w:rsid w:val="00907423"/>
    <w:rsid w:val="00976BB2"/>
    <w:rsid w:val="00AE0059"/>
    <w:rsid w:val="00AF0FAB"/>
    <w:rsid w:val="00AF4AB1"/>
    <w:rsid w:val="00BE57A1"/>
    <w:rsid w:val="00C26E8F"/>
    <w:rsid w:val="00C54616"/>
    <w:rsid w:val="00CE0694"/>
    <w:rsid w:val="00E168B7"/>
    <w:rsid w:val="00E61725"/>
    <w:rsid w:val="00F2728B"/>
    <w:rsid w:val="01BCF529"/>
    <w:rsid w:val="02888BDD"/>
    <w:rsid w:val="033F338D"/>
    <w:rsid w:val="2623484D"/>
    <w:rsid w:val="4785A923"/>
    <w:rsid w:val="55DB2579"/>
    <w:rsid w:val="6E62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DDDC"/>
  <w15:chartTrackingRefBased/>
  <w15:docId w15:val="{5D57A398-12AA-4E00-9236-E80E15EE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E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412E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F4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AB1"/>
  </w:style>
  <w:style w:type="paragraph" w:styleId="Revision">
    <w:name w:val="Revision"/>
    <w:hidden/>
    <w:uiPriority w:val="99"/>
    <w:semiHidden/>
    <w:rsid w:val="00976B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6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BB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0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irst.org/wp-content/uploads/2023/07/ERO-Enterprise-GO-GOP-Asset-Verification-Form-Template.xls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first.org/entity-registration-for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liance@rfirs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ReliabilityFirst Corporation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Folt</dc:creator>
  <cp:keywords/>
  <dc:description/>
  <cp:lastModifiedBy>Gabe Cavallaro</cp:lastModifiedBy>
  <cp:revision>4</cp:revision>
  <dcterms:created xsi:type="dcterms:W3CDTF">2024-11-05T16:10:00Z</dcterms:created>
  <dcterms:modified xsi:type="dcterms:W3CDTF">2024-11-05T16:30:00Z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6819cdaa,533c0a8d,77a68eea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PUBLIC</vt:lpwstr>
  </property>
  <property fmtid="{D5CDD505-2E9C-101B-9397-08002B2CF9AE}" pid="5" name="MSIP_Label_930909b4-44ad-4d95-a920-2f50d81fbf23_Enabled">
    <vt:lpwstr>true</vt:lpwstr>
  </property>
  <property fmtid="{D5CDD505-2E9C-101B-9397-08002B2CF9AE}" pid="6" name="MSIP_Label_930909b4-44ad-4d95-a920-2f50d81fbf23_SetDate">
    <vt:lpwstr>2024-11-05T16:28:10Z</vt:lpwstr>
  </property>
  <property fmtid="{D5CDD505-2E9C-101B-9397-08002B2CF9AE}" pid="7" name="MSIP_Label_930909b4-44ad-4d95-a920-2f50d81fbf23_Method">
    <vt:lpwstr>Privileged</vt:lpwstr>
  </property>
  <property fmtid="{D5CDD505-2E9C-101B-9397-08002B2CF9AE}" pid="8" name="MSIP_Label_930909b4-44ad-4d95-a920-2f50d81fbf23_Name">
    <vt:lpwstr>Public - Watermark</vt:lpwstr>
  </property>
  <property fmtid="{D5CDD505-2E9C-101B-9397-08002B2CF9AE}" pid="9" name="MSIP_Label_930909b4-44ad-4d95-a920-2f50d81fbf23_SiteId">
    <vt:lpwstr>4a013fdd-4fb3-493a-bfd2-96a7301ad50c</vt:lpwstr>
  </property>
  <property fmtid="{D5CDD505-2E9C-101B-9397-08002B2CF9AE}" pid="10" name="MSIP_Label_930909b4-44ad-4d95-a920-2f50d81fbf23_ActionId">
    <vt:lpwstr>dbead5c6-86b2-446a-8009-f8f82fbac2c4</vt:lpwstr>
  </property>
  <property fmtid="{D5CDD505-2E9C-101B-9397-08002B2CF9AE}" pid="11" name="MSIP_Label_930909b4-44ad-4d95-a920-2f50d81fbf23_ContentBits">
    <vt:lpwstr>1</vt:lpwstr>
  </property>
</Properties>
</file>